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A4A44" w14:textId="77777777" w:rsidR="008B44E9" w:rsidRDefault="008B44E9" w:rsidP="008B44E9">
      <w:pPr>
        <w:jc w:val="right"/>
        <w:rPr>
          <w:lang w:val="en-US"/>
        </w:rPr>
      </w:pPr>
    </w:p>
    <w:p w14:paraId="6B2A775E" w14:textId="77777777" w:rsidR="002C16DB" w:rsidRDefault="002C16DB" w:rsidP="008B44E9">
      <w:pPr>
        <w:rPr>
          <w:b/>
          <w:bCs/>
          <w:lang w:val="en-US"/>
        </w:rPr>
      </w:pPr>
    </w:p>
    <w:p w14:paraId="33D36EA1" w14:textId="2ADE67FA" w:rsidR="008B44E9" w:rsidRDefault="008B44E9" w:rsidP="008B44E9">
      <w:pPr>
        <w:rPr>
          <w:lang w:val="en-US"/>
        </w:rPr>
      </w:pPr>
      <w:r w:rsidRPr="008B44E9">
        <w:rPr>
          <w:b/>
          <w:bCs/>
          <w:lang w:val="en-US"/>
        </w:rPr>
        <w:t>FOR IMMEDIATE RELEASE</w:t>
      </w:r>
      <w:r w:rsidRPr="008B44E9">
        <w:rPr>
          <w:lang w:val="en-US"/>
        </w:rPr>
        <w:br/>
        <w:t>May 2</w:t>
      </w:r>
      <w:r w:rsidR="002B708A">
        <w:rPr>
          <w:lang w:val="en-US"/>
        </w:rPr>
        <w:t>8</w:t>
      </w:r>
      <w:r w:rsidRPr="008B44E9">
        <w:rPr>
          <w:lang w:val="en-US"/>
        </w:rPr>
        <w:t>, 2024</w:t>
      </w:r>
    </w:p>
    <w:p w14:paraId="0238B78D" w14:textId="77777777" w:rsidR="008B44E9" w:rsidRPr="008B44E9" w:rsidRDefault="008B44E9" w:rsidP="008B44E9">
      <w:pPr>
        <w:jc w:val="right"/>
        <w:rPr>
          <w:lang w:val="en-US"/>
        </w:rPr>
      </w:pPr>
    </w:p>
    <w:p w14:paraId="583C36B6" w14:textId="77777777" w:rsidR="008B44E9" w:rsidRDefault="008B44E9" w:rsidP="008B44E9">
      <w:pPr>
        <w:rPr>
          <w:b/>
          <w:bCs/>
          <w:lang w:val="en-US"/>
        </w:rPr>
      </w:pPr>
    </w:p>
    <w:p w14:paraId="5147E1DE" w14:textId="1E1CF099" w:rsidR="008B44E9" w:rsidRPr="008B44E9" w:rsidRDefault="008B44E9" w:rsidP="008B44E9">
      <w:pPr>
        <w:rPr>
          <w:sz w:val="24"/>
          <w:szCs w:val="24"/>
          <w:lang w:val="en-US"/>
        </w:rPr>
      </w:pPr>
      <w:r w:rsidRPr="008B44E9">
        <w:rPr>
          <w:b/>
          <w:bCs/>
          <w:sz w:val="24"/>
          <w:szCs w:val="24"/>
          <w:lang w:val="en-US"/>
        </w:rPr>
        <w:t xml:space="preserve">Mystery Surrounds </w:t>
      </w:r>
      <w:r w:rsidR="003615A4" w:rsidRPr="008B44E9">
        <w:rPr>
          <w:b/>
          <w:bCs/>
          <w:sz w:val="24"/>
          <w:szCs w:val="24"/>
          <w:lang w:val="en-US"/>
        </w:rPr>
        <w:t>Recently</w:t>
      </w:r>
      <w:r w:rsidR="003615A4">
        <w:rPr>
          <w:b/>
          <w:bCs/>
          <w:sz w:val="24"/>
          <w:szCs w:val="24"/>
          <w:lang w:val="en-US"/>
        </w:rPr>
        <w:t xml:space="preserve"> Discovered</w:t>
      </w:r>
      <w:r w:rsidRPr="008B44E9">
        <w:rPr>
          <w:b/>
          <w:bCs/>
          <w:sz w:val="24"/>
          <w:szCs w:val="24"/>
          <w:lang w:val="en-US"/>
        </w:rPr>
        <w:t xml:space="preserve"> Vampire Story</w:t>
      </w:r>
    </w:p>
    <w:p w14:paraId="727D71EF" w14:textId="77777777" w:rsidR="008B44E9" w:rsidRDefault="008B44E9" w:rsidP="008B44E9">
      <w:pPr>
        <w:rPr>
          <w:lang w:val="en-US"/>
        </w:rPr>
      </w:pPr>
    </w:p>
    <w:p w14:paraId="4DB0D126" w14:textId="536159FF" w:rsidR="008B44E9" w:rsidRPr="008B44E9" w:rsidRDefault="008B44E9" w:rsidP="008B44E9">
      <w:pPr>
        <w:rPr>
          <w:lang w:val="en-US"/>
        </w:rPr>
      </w:pPr>
      <w:r w:rsidRPr="008B44E9">
        <w:rPr>
          <w:lang w:val="en-US"/>
        </w:rPr>
        <w:t>MÁLAGA, Spain — A</w:t>
      </w:r>
      <w:r w:rsidR="003615A4">
        <w:rPr>
          <w:lang w:val="en-US"/>
        </w:rPr>
        <w:t>n obscure</w:t>
      </w:r>
      <w:r w:rsidR="005544A6">
        <w:rPr>
          <w:lang w:val="en-US"/>
        </w:rPr>
        <w:t xml:space="preserve"> </w:t>
      </w:r>
      <w:r w:rsidRPr="008B44E9">
        <w:rPr>
          <w:lang w:val="en-US"/>
        </w:rPr>
        <w:t xml:space="preserve">vampire story is a </w:t>
      </w:r>
      <w:r w:rsidR="00A74950" w:rsidRPr="008B44E9">
        <w:rPr>
          <w:lang w:val="en-US"/>
        </w:rPr>
        <w:t>game changer</w:t>
      </w:r>
      <w:r w:rsidRPr="008B44E9">
        <w:rPr>
          <w:lang w:val="en-US"/>
        </w:rPr>
        <w:t xml:space="preserve"> for nineteenth century vampire literature</w:t>
      </w:r>
      <w:r w:rsidR="00F40742">
        <w:rPr>
          <w:lang w:val="en-US"/>
        </w:rPr>
        <w:t xml:space="preserve"> that contains</w:t>
      </w:r>
      <w:r w:rsidR="003E783E">
        <w:rPr>
          <w:lang w:val="en-US"/>
        </w:rPr>
        <w:t xml:space="preserve"> </w:t>
      </w:r>
      <w:r w:rsidRPr="008B44E9">
        <w:rPr>
          <w:lang w:val="en-US"/>
        </w:rPr>
        <w:t xml:space="preserve">several tropes </w:t>
      </w:r>
      <w:r w:rsidR="005544A6">
        <w:rPr>
          <w:lang w:val="en-US"/>
        </w:rPr>
        <w:t>pre-dating</w:t>
      </w:r>
      <w:r w:rsidRPr="008B44E9">
        <w:rPr>
          <w:lang w:val="en-US"/>
        </w:rPr>
        <w:t xml:space="preserve"> Bram Stoker’s</w:t>
      </w:r>
      <w:r w:rsidR="00F40742">
        <w:rPr>
          <w:lang w:val="en-US"/>
        </w:rPr>
        <w:t xml:space="preserve"> 1897 novel,</w:t>
      </w:r>
      <w:r w:rsidR="00DA4001">
        <w:rPr>
          <w:lang w:val="en-US"/>
        </w:rPr>
        <w:t xml:space="preserve"> </w:t>
      </w:r>
      <w:r w:rsidRPr="008B44E9">
        <w:rPr>
          <w:i/>
          <w:iCs/>
          <w:lang w:val="en-US"/>
        </w:rPr>
        <w:t>Dracula</w:t>
      </w:r>
      <w:r w:rsidR="00F40742">
        <w:rPr>
          <w:lang w:val="en-US"/>
        </w:rPr>
        <w:t xml:space="preserve">, </w:t>
      </w:r>
      <w:r w:rsidRPr="008B44E9">
        <w:rPr>
          <w:lang w:val="en-US"/>
        </w:rPr>
        <w:t xml:space="preserve">by over fifty years. </w:t>
      </w:r>
    </w:p>
    <w:p w14:paraId="0625B90F" w14:textId="77777777" w:rsidR="008B44E9" w:rsidRDefault="008B44E9" w:rsidP="008B44E9">
      <w:pPr>
        <w:rPr>
          <w:lang w:val="en-US"/>
        </w:rPr>
      </w:pPr>
    </w:p>
    <w:p w14:paraId="13546DEF" w14:textId="44FD942B" w:rsidR="008B44E9" w:rsidRPr="008B44E9" w:rsidRDefault="001C30C7" w:rsidP="008B44E9">
      <w:pPr>
        <w:rPr>
          <w:lang w:val="en-US"/>
        </w:rPr>
      </w:pPr>
      <w:r>
        <w:rPr>
          <w:lang w:val="en-US"/>
        </w:rPr>
        <w:t xml:space="preserve"> </w:t>
      </w:r>
      <w:r w:rsidR="00C76807">
        <w:rPr>
          <w:lang w:val="en-US"/>
        </w:rPr>
        <w:t xml:space="preserve">“The Vampire of Vourla” debuted </w:t>
      </w:r>
      <w:r w:rsidR="00C76807" w:rsidRPr="008B44E9">
        <w:rPr>
          <w:lang w:val="en-US"/>
        </w:rPr>
        <w:t xml:space="preserve">in a British literary annual called </w:t>
      </w:r>
      <w:r w:rsidR="00C76807" w:rsidRPr="008B44E9">
        <w:rPr>
          <w:i/>
          <w:iCs/>
          <w:lang w:val="en-US"/>
        </w:rPr>
        <w:t>The Chaplet</w:t>
      </w:r>
      <w:r w:rsidR="00C76807" w:rsidRPr="008B44E9">
        <w:rPr>
          <w:lang w:val="en-US"/>
        </w:rPr>
        <w:t xml:space="preserve"> in 1844 or 1845.</w:t>
      </w:r>
      <w:r w:rsidR="00C76807">
        <w:rPr>
          <w:lang w:val="en-US"/>
        </w:rPr>
        <w:t xml:space="preserve"> </w:t>
      </w:r>
      <w:r w:rsidR="005544A6" w:rsidRPr="005544A6">
        <w:rPr>
          <w:lang w:val="en-US"/>
        </w:rPr>
        <w:t>Álvaro García Marín</w:t>
      </w:r>
      <w:r w:rsidR="005544A6">
        <w:rPr>
          <w:lang w:val="en-US"/>
        </w:rPr>
        <w:t xml:space="preserve">, author of </w:t>
      </w:r>
      <w:r w:rsidR="005544A6" w:rsidRPr="005544A6">
        <w:rPr>
          <w:i/>
          <w:iCs/>
          <w:lang w:val="en-US"/>
        </w:rPr>
        <w:t>Historias del vampiro griego</w:t>
      </w:r>
      <w:r w:rsidR="005544A6" w:rsidRPr="005544A6">
        <w:rPr>
          <w:lang w:val="en-US"/>
        </w:rPr>
        <w:t xml:space="preserve"> (Histories of the Greek vampire)</w:t>
      </w:r>
      <w:r w:rsidR="005544A6">
        <w:rPr>
          <w:lang w:val="en-US"/>
        </w:rPr>
        <w:t>, found</w:t>
      </w:r>
      <w:r w:rsidR="005544A6" w:rsidRPr="005544A6">
        <w:rPr>
          <w:lang w:val="en-US"/>
        </w:rPr>
        <w:t xml:space="preserve"> </w:t>
      </w:r>
      <w:r w:rsidR="00C76807">
        <w:rPr>
          <w:lang w:val="en-US"/>
        </w:rPr>
        <w:t xml:space="preserve">the story through </w:t>
      </w:r>
      <w:r w:rsidR="005544A6">
        <w:rPr>
          <w:lang w:val="en-US"/>
        </w:rPr>
        <w:t>Google Books in 2017 while living in Madrid</w:t>
      </w:r>
      <w:r w:rsidR="00F40742">
        <w:rPr>
          <w:lang w:val="en-US"/>
        </w:rPr>
        <w:t xml:space="preserve"> between work</w:t>
      </w:r>
      <w:r w:rsidR="005544A6">
        <w:rPr>
          <w:lang w:val="en-US"/>
        </w:rPr>
        <w:t>.</w:t>
      </w:r>
    </w:p>
    <w:p w14:paraId="5BBAA0E6" w14:textId="77777777" w:rsidR="008B44E9" w:rsidRDefault="008B44E9" w:rsidP="008B44E9">
      <w:pPr>
        <w:rPr>
          <w:lang w:val="en-US"/>
        </w:rPr>
      </w:pPr>
    </w:p>
    <w:p w14:paraId="290A161C" w14:textId="3A1737AE" w:rsidR="008B44E9" w:rsidRPr="008B44E9" w:rsidRDefault="00C76807" w:rsidP="008B44E9">
      <w:pPr>
        <w:rPr>
          <w:lang w:val="en-US"/>
        </w:rPr>
      </w:pPr>
      <w:r>
        <w:rPr>
          <w:lang w:val="en-US"/>
        </w:rPr>
        <w:t>N</w:t>
      </w:r>
      <w:r w:rsidR="005544A6">
        <w:rPr>
          <w:lang w:val="en-US"/>
        </w:rPr>
        <w:t xml:space="preserve">ow an Assistant Professor at the </w:t>
      </w:r>
      <w:r w:rsidR="005544A6" w:rsidRPr="005544A6">
        <w:rPr>
          <w:lang w:val="en-US"/>
        </w:rPr>
        <w:t>University of Málaga</w:t>
      </w:r>
      <w:r w:rsidR="00F40742">
        <w:rPr>
          <w:lang w:val="en-US"/>
        </w:rPr>
        <w:t xml:space="preserve">, </w:t>
      </w:r>
      <w:r w:rsidRPr="005544A6">
        <w:rPr>
          <w:lang w:val="en-US"/>
        </w:rPr>
        <w:t>García Marín</w:t>
      </w:r>
      <w:r>
        <w:rPr>
          <w:lang w:val="en-US"/>
        </w:rPr>
        <w:t xml:space="preserve"> </w:t>
      </w:r>
      <w:r w:rsidR="00E370BB">
        <w:rPr>
          <w:lang w:val="en-US"/>
        </w:rPr>
        <w:t>said</w:t>
      </w:r>
      <w:r w:rsidR="00F40742">
        <w:rPr>
          <w:lang w:val="en-US"/>
        </w:rPr>
        <w:t>:</w:t>
      </w:r>
      <w:r w:rsidR="005544A6" w:rsidRPr="005544A6">
        <w:rPr>
          <w:lang w:val="en-US"/>
        </w:rPr>
        <w:t xml:space="preserve"> </w:t>
      </w:r>
      <w:r w:rsidR="008B44E9" w:rsidRPr="008B44E9">
        <w:rPr>
          <w:lang w:val="en-US"/>
        </w:rPr>
        <w:t>“</w:t>
      </w:r>
      <w:r w:rsidR="00711343" w:rsidRPr="00711343">
        <w:rPr>
          <w:lang w:val="en-US"/>
        </w:rPr>
        <w:t>As soon as I realized, with astonishment, that the piece was not mentioned anywhere in Vampire Studies literature, it struck me as a major find due to the amazing features it presented at such an early date (apart from its outstanding quality): a female vampire who received a foreign visitor in her enigmatic and secluded manor, lured him into a sexual relationship, sucked all his blood and, most of all, changed her form into a bat in order to attack her victim into his very room.</w:t>
      </w:r>
      <w:r w:rsidR="00711343">
        <w:rPr>
          <w:lang w:val="en-US"/>
        </w:rPr>
        <w:t>”</w:t>
      </w:r>
    </w:p>
    <w:p w14:paraId="469404B6" w14:textId="77777777" w:rsidR="008B44E9" w:rsidRDefault="008B44E9" w:rsidP="008B44E9">
      <w:pPr>
        <w:rPr>
          <w:lang w:val="en-US"/>
        </w:rPr>
      </w:pPr>
    </w:p>
    <w:p w14:paraId="0972B1D5" w14:textId="12CF2571" w:rsidR="008B44E9" w:rsidRPr="008B44E9" w:rsidRDefault="009F4031" w:rsidP="008B44E9">
      <w:pPr>
        <w:rPr>
          <w:lang w:val="en-US"/>
        </w:rPr>
      </w:pPr>
      <w:r>
        <w:rPr>
          <w:lang w:val="en-US"/>
        </w:rPr>
        <w:t>H</w:t>
      </w:r>
      <w:r w:rsidR="00711343">
        <w:rPr>
          <w:lang w:val="en-US"/>
        </w:rPr>
        <w:t xml:space="preserve">e shared his </w:t>
      </w:r>
      <w:r w:rsidR="00341A9F">
        <w:rPr>
          <w:lang w:val="en-US"/>
        </w:rPr>
        <w:t>findings</w:t>
      </w:r>
      <w:r w:rsidR="00A74950">
        <w:rPr>
          <w:lang w:val="en-US"/>
        </w:rPr>
        <w:t xml:space="preserve"> in</w:t>
      </w:r>
      <w:r w:rsidR="008B44E9" w:rsidRPr="008B44E9">
        <w:rPr>
          <w:lang w:val="en-US"/>
        </w:rPr>
        <w:t xml:space="preserve"> “The Significance of ‘The Vampire of Vourla’ to Nineteenth-Century Vampire Fiction</w:t>
      </w:r>
      <w:r w:rsidR="00DA4001">
        <w:rPr>
          <w:lang w:val="en-US"/>
        </w:rPr>
        <w:t>,</w:t>
      </w:r>
      <w:r w:rsidR="008B44E9" w:rsidRPr="008B44E9">
        <w:rPr>
          <w:lang w:val="en-US"/>
        </w:rPr>
        <w:t>”</w:t>
      </w:r>
      <w:r w:rsidR="00DA4001">
        <w:rPr>
          <w:lang w:val="en-US"/>
        </w:rPr>
        <w:t xml:space="preserve"> </w:t>
      </w:r>
      <w:r w:rsidR="00A74950">
        <w:rPr>
          <w:lang w:val="en-US"/>
        </w:rPr>
        <w:t>an article published in the</w:t>
      </w:r>
      <w:r w:rsidR="008B44E9" w:rsidRPr="008B44E9">
        <w:rPr>
          <w:lang w:val="en-US"/>
        </w:rPr>
        <w:t xml:space="preserve"> latest issue of the</w:t>
      </w:r>
      <w:r w:rsidR="00DA4001">
        <w:rPr>
          <w:lang w:val="en-US"/>
        </w:rPr>
        <w:t xml:space="preserve"> Vampire Studies Association’s</w:t>
      </w:r>
      <w:r w:rsidR="008B44E9" w:rsidRPr="008B44E9">
        <w:rPr>
          <w:lang w:val="en-US"/>
        </w:rPr>
        <w:t xml:space="preserve"> </w:t>
      </w:r>
      <w:r w:rsidR="008B44E9" w:rsidRPr="008B44E9">
        <w:rPr>
          <w:i/>
          <w:iCs/>
          <w:lang w:val="en-US"/>
        </w:rPr>
        <w:t>Journal of Vampire Studies</w:t>
      </w:r>
      <w:r w:rsidR="008B44E9" w:rsidRPr="008B44E9">
        <w:rPr>
          <w:lang w:val="en-US"/>
        </w:rPr>
        <w:t>.</w:t>
      </w:r>
    </w:p>
    <w:p w14:paraId="1AC92CD5" w14:textId="77777777" w:rsidR="008B44E9" w:rsidRDefault="008B44E9" w:rsidP="008B44E9">
      <w:pPr>
        <w:rPr>
          <w:lang w:val="en-US"/>
        </w:rPr>
      </w:pPr>
    </w:p>
    <w:p w14:paraId="1457D5AC" w14:textId="07FED9A2" w:rsidR="00933159" w:rsidRPr="00933159" w:rsidRDefault="00C76807" w:rsidP="00933159">
      <w:r w:rsidRPr="00C76807">
        <w:t>García Marín</w:t>
      </w:r>
      <w:r>
        <w:t>’s</w:t>
      </w:r>
      <w:r w:rsidR="00CF1532">
        <w:t xml:space="preserve"> article </w:t>
      </w:r>
      <w:r w:rsidR="00933159" w:rsidRPr="00933159">
        <w:t xml:space="preserve">"draws our attention to two unique aspects of 'The Vampire of Vourla,'" </w:t>
      </w:r>
      <w:r w:rsidR="009F4031">
        <w:t>said</w:t>
      </w:r>
      <w:r w:rsidR="00933159" w:rsidRPr="00933159">
        <w:t xml:space="preserve"> Daichi Moriguchi, a lecturer at Ritsumeikan University</w:t>
      </w:r>
      <w:r w:rsidR="00CF1532">
        <w:t xml:space="preserve"> who presented a paper on the story at</w:t>
      </w:r>
      <w:r w:rsidR="00933159" w:rsidRPr="00933159">
        <w:t xml:space="preserve"> </w:t>
      </w:r>
      <w:r w:rsidR="00341A9F">
        <w:t>a</w:t>
      </w:r>
      <w:r w:rsidR="00933159" w:rsidRPr="00933159">
        <w:t xml:space="preserve"> Society of World Literature meeting </w:t>
      </w:r>
      <w:r w:rsidR="0075297C">
        <w:t xml:space="preserve">at </w:t>
      </w:r>
      <w:r w:rsidR="006A3C3E" w:rsidRPr="006A3C3E">
        <w:t xml:space="preserve">Ryukoku University </w:t>
      </w:r>
      <w:r w:rsidR="00341A9F">
        <w:t xml:space="preserve">in Kyoto </w:t>
      </w:r>
      <w:r w:rsidR="00933159" w:rsidRPr="00933159">
        <w:t>on April 20.</w:t>
      </w:r>
    </w:p>
    <w:p w14:paraId="08ACE66E" w14:textId="77777777" w:rsidR="00933159" w:rsidRPr="00933159" w:rsidRDefault="00933159" w:rsidP="00933159"/>
    <w:p w14:paraId="6C10AD40" w14:textId="5B02CAA7" w:rsidR="00933159" w:rsidRPr="00933159" w:rsidRDefault="00EF387F" w:rsidP="00933159">
      <w:r w:rsidRPr="00EF387F">
        <w:t>"Firstly, 'Vourla' revives the vampire’s animality – the 'Otherness' –, which it originally had since the 18th century, through the representation of the bat</w:t>
      </w:r>
      <w:r w:rsidR="00E370BB">
        <w:t>,” Moriguchi</w:t>
      </w:r>
      <w:r w:rsidR="00E370BB" w:rsidRPr="00E370BB">
        <w:t xml:space="preserve"> </w:t>
      </w:r>
      <w:r w:rsidR="00E370BB">
        <w:t>elaborates.</w:t>
      </w:r>
      <w:r w:rsidRPr="00EF387F">
        <w:t xml:space="preserve"> </w:t>
      </w:r>
      <w:r w:rsidR="00E370BB">
        <w:t>“</w:t>
      </w:r>
      <w:r w:rsidRPr="00EF387F">
        <w:t>Secondly, it is noteworthy that the anonymous author emphasizes the Greekness of the vampire through the lens of Orientalism which positions his work closely to Tournefort's report [of a Greek vampire haunting Mykonos], [Lord Byron's] "The Giaour" and [John William Polidori's] 'The Vampyre'."</w:t>
      </w:r>
    </w:p>
    <w:p w14:paraId="2C62D4EB" w14:textId="77777777" w:rsidR="005F0378" w:rsidRDefault="005F0378" w:rsidP="008B44E9">
      <w:pPr>
        <w:rPr>
          <w:lang w:val="en-US"/>
        </w:rPr>
      </w:pPr>
    </w:p>
    <w:p w14:paraId="101CE2A5" w14:textId="466E47E9" w:rsidR="008B44E9" w:rsidRPr="008B44E9" w:rsidRDefault="008B44E9" w:rsidP="008B44E9">
      <w:pPr>
        <w:rPr>
          <w:lang w:val="en-US"/>
        </w:rPr>
      </w:pPr>
      <w:r w:rsidRPr="008B44E9">
        <w:rPr>
          <w:lang w:val="en-US"/>
        </w:rPr>
        <w:t xml:space="preserve">The story headlines García Marín’s upcoming anthology, </w:t>
      </w:r>
      <w:r w:rsidRPr="008B44E9">
        <w:rPr>
          <w:i/>
          <w:iCs/>
          <w:lang w:val="en-US"/>
        </w:rPr>
        <w:t>The Vampire of Vourla</w:t>
      </w:r>
      <w:r w:rsidRPr="008B44E9">
        <w:rPr>
          <w:rFonts w:ascii="Tahoma" w:hAnsi="Tahoma" w:cs="Tahoma"/>
          <w:i/>
          <w:iCs/>
          <w:lang w:val="en-US"/>
        </w:rPr>
        <w:t>﻿</w:t>
      </w:r>
      <w:r w:rsidRPr="008B44E9">
        <w:rPr>
          <w:i/>
          <w:iCs/>
          <w:lang w:val="en-US"/>
        </w:rPr>
        <w:t>, and Other Greek Vampire Tales, 1819-1846</w:t>
      </w:r>
      <w:r w:rsidRPr="008B44E9">
        <w:rPr>
          <w:lang w:val="en-US"/>
        </w:rPr>
        <w:t>, which includes Polidori’s “The Vampyre,” Lord Byron’s “A Fragment” and four rare, never-before-reprinted vampire tales.</w:t>
      </w:r>
    </w:p>
    <w:p w14:paraId="7EDE6BD8" w14:textId="77777777" w:rsidR="008B44E9" w:rsidRDefault="008B44E9" w:rsidP="008B44E9">
      <w:pPr>
        <w:rPr>
          <w:lang w:val="en-US"/>
        </w:rPr>
      </w:pPr>
    </w:p>
    <w:p w14:paraId="3F2F8922" w14:textId="5549A761" w:rsidR="008B44E9" w:rsidRPr="008B44E9" w:rsidRDefault="00933159" w:rsidP="008B44E9">
      <w:pPr>
        <w:rPr>
          <w:lang w:val="en-US"/>
        </w:rPr>
      </w:pPr>
      <w:r>
        <w:rPr>
          <w:lang w:val="en-US"/>
        </w:rPr>
        <w:t xml:space="preserve">Unlike </w:t>
      </w:r>
      <w:r w:rsidR="00341A9F">
        <w:rPr>
          <w:lang w:val="en-US"/>
        </w:rPr>
        <w:t xml:space="preserve">most of the </w:t>
      </w:r>
      <w:r>
        <w:rPr>
          <w:lang w:val="en-US"/>
        </w:rPr>
        <w:t>stories</w:t>
      </w:r>
      <w:r w:rsidR="00CF1532">
        <w:rPr>
          <w:lang w:val="en-US"/>
        </w:rPr>
        <w:t xml:space="preserve"> in the anthology</w:t>
      </w:r>
      <w:r>
        <w:rPr>
          <w:lang w:val="en-US"/>
        </w:rPr>
        <w:t xml:space="preserve">, </w:t>
      </w:r>
      <w:r w:rsidR="00636F23">
        <w:rPr>
          <w:lang w:val="en-US"/>
        </w:rPr>
        <w:t>c</w:t>
      </w:r>
      <w:r w:rsidR="008B44E9" w:rsidRPr="008B44E9">
        <w:rPr>
          <w:lang w:val="en-US"/>
        </w:rPr>
        <w:t xml:space="preserve">rediting “Vourla” </w:t>
      </w:r>
      <w:r w:rsidR="002C16DB">
        <w:rPr>
          <w:lang w:val="en-US"/>
        </w:rPr>
        <w:t xml:space="preserve">proved </w:t>
      </w:r>
      <w:r>
        <w:rPr>
          <w:lang w:val="en-US"/>
        </w:rPr>
        <w:t xml:space="preserve">to be a </w:t>
      </w:r>
      <w:r w:rsidR="00341A9F">
        <w:rPr>
          <w:lang w:val="en-US"/>
        </w:rPr>
        <w:t>significant challenge as</w:t>
      </w:r>
      <w:r>
        <w:rPr>
          <w:lang w:val="en-US"/>
        </w:rPr>
        <w:t xml:space="preserve"> </w:t>
      </w:r>
      <w:r w:rsidR="008B44E9" w:rsidRPr="008B44E9">
        <w:rPr>
          <w:lang w:val="en-US"/>
        </w:rPr>
        <w:t xml:space="preserve">it was </w:t>
      </w:r>
      <w:r w:rsidR="00636F23">
        <w:rPr>
          <w:lang w:val="en-US"/>
        </w:rPr>
        <w:t xml:space="preserve">originally </w:t>
      </w:r>
      <w:r w:rsidR="008B44E9" w:rsidRPr="008B44E9">
        <w:rPr>
          <w:lang w:val="en-US"/>
        </w:rPr>
        <w:t xml:space="preserve">published </w:t>
      </w:r>
      <w:r w:rsidR="003D1EE6">
        <w:rPr>
          <w:lang w:val="en-US"/>
        </w:rPr>
        <w:t>without a</w:t>
      </w:r>
      <w:r w:rsidR="00CF1532">
        <w:rPr>
          <w:lang w:val="en-US"/>
        </w:rPr>
        <w:t xml:space="preserve"> </w:t>
      </w:r>
      <w:r w:rsidR="00636F23">
        <w:rPr>
          <w:lang w:val="en-US"/>
        </w:rPr>
        <w:t>byline</w:t>
      </w:r>
      <w:r w:rsidR="008B44E9" w:rsidRPr="008B44E9">
        <w:rPr>
          <w:lang w:val="en-US"/>
        </w:rPr>
        <w:t>.</w:t>
      </w:r>
    </w:p>
    <w:p w14:paraId="5AFD9AD6" w14:textId="77777777" w:rsidR="008B44E9" w:rsidRDefault="008B44E9" w:rsidP="008B44E9">
      <w:pPr>
        <w:rPr>
          <w:lang w:val="en-US"/>
        </w:rPr>
      </w:pPr>
    </w:p>
    <w:p w14:paraId="1DACA699" w14:textId="0056E058" w:rsidR="008B44E9" w:rsidRPr="008B44E9" w:rsidRDefault="008B44E9" w:rsidP="008B44E9">
      <w:pPr>
        <w:rPr>
          <w:lang w:val="en-US"/>
        </w:rPr>
      </w:pPr>
      <w:r w:rsidRPr="008B44E9">
        <w:rPr>
          <w:lang w:val="en-US"/>
        </w:rPr>
        <w:t>“Who might have written it?</w:t>
      </w:r>
      <w:r w:rsidR="002C16DB">
        <w:rPr>
          <w:lang w:val="en-US"/>
        </w:rPr>
        <w:t xml:space="preserve"> </w:t>
      </w:r>
      <w:r w:rsidRPr="008B44E9">
        <w:rPr>
          <w:lang w:val="en-US"/>
        </w:rPr>
        <w:t>Could it be the work of a female writer, given the astonishing degree of agency it bestows on Heira, the Greek vampire?</w:t>
      </w:r>
      <w:r w:rsidR="002C16DB">
        <w:rPr>
          <w:lang w:val="en-US"/>
        </w:rPr>
        <w:t xml:space="preserve">” </w:t>
      </w:r>
      <w:r w:rsidR="006A4532">
        <w:rPr>
          <w:lang w:val="en-US"/>
        </w:rPr>
        <w:t>wonders</w:t>
      </w:r>
      <w:r w:rsidR="00341A9F" w:rsidRPr="002C16DB">
        <w:rPr>
          <w:lang w:val="en-US"/>
        </w:rPr>
        <w:t xml:space="preserve"> </w:t>
      </w:r>
      <w:r w:rsidR="002C16DB" w:rsidRPr="002C16DB">
        <w:rPr>
          <w:lang w:val="en-US"/>
        </w:rPr>
        <w:t>García Marín</w:t>
      </w:r>
      <w:r w:rsidR="00187866">
        <w:rPr>
          <w:lang w:val="en-US"/>
        </w:rPr>
        <w:t>.</w:t>
      </w:r>
      <w:r w:rsidRPr="008B44E9">
        <w:rPr>
          <w:lang w:val="en-US"/>
        </w:rPr>
        <w:t xml:space="preserve"> </w:t>
      </w:r>
      <w:r w:rsidR="002C16DB">
        <w:rPr>
          <w:lang w:val="en-US"/>
        </w:rPr>
        <w:t>“</w:t>
      </w:r>
      <w:r w:rsidRPr="008B44E9">
        <w:rPr>
          <w:lang w:val="en-US"/>
        </w:rPr>
        <w:t>We will probably never know, but this is definitely a mystery worth exploring as long as the story can well be considered a new basic milestone of 19th-century vampire literature.”</w:t>
      </w:r>
    </w:p>
    <w:p w14:paraId="1A75B566" w14:textId="77777777" w:rsidR="008B44E9" w:rsidRDefault="008B44E9" w:rsidP="008B44E9">
      <w:pPr>
        <w:rPr>
          <w:lang w:val="en-US"/>
        </w:rPr>
      </w:pPr>
    </w:p>
    <w:p w14:paraId="037FF116" w14:textId="24E0FD78" w:rsidR="008B44E9" w:rsidRPr="008B44E9" w:rsidRDefault="008B44E9" w:rsidP="008B44E9">
      <w:pPr>
        <w:rPr>
          <w:lang w:val="en-US"/>
        </w:rPr>
      </w:pPr>
      <w:r w:rsidRPr="008B44E9">
        <w:rPr>
          <w:lang w:val="en-US"/>
        </w:rPr>
        <w:t xml:space="preserve">To pre-order a copy of </w:t>
      </w:r>
      <w:bookmarkStart w:id="0" w:name="_Hlk166749627"/>
      <w:r w:rsidRPr="008B44E9">
        <w:rPr>
          <w:i/>
          <w:iCs/>
          <w:lang w:val="en-US"/>
        </w:rPr>
        <w:t>The Vampire of Vourla</w:t>
      </w:r>
      <w:r w:rsidRPr="008B44E9">
        <w:rPr>
          <w:rFonts w:ascii="Tahoma" w:hAnsi="Tahoma" w:cs="Tahoma"/>
          <w:i/>
          <w:iCs/>
          <w:lang w:val="en-US"/>
        </w:rPr>
        <w:t>﻿</w:t>
      </w:r>
      <w:r w:rsidRPr="008B44E9">
        <w:rPr>
          <w:i/>
          <w:iCs/>
          <w:lang w:val="en-US"/>
        </w:rPr>
        <w:t>, and Other Greek Vampire Tales, 1819-1846</w:t>
      </w:r>
      <w:bookmarkEnd w:id="0"/>
      <w:r w:rsidRPr="008B44E9">
        <w:rPr>
          <w:lang w:val="en-US"/>
        </w:rPr>
        <w:t>, visit https://www.valancourtbooks.com/the-vampire-of-vourla.html.</w:t>
      </w:r>
    </w:p>
    <w:p w14:paraId="57775145" w14:textId="77777777" w:rsidR="008B44E9" w:rsidRDefault="008B44E9" w:rsidP="008B44E9">
      <w:pPr>
        <w:rPr>
          <w:lang w:val="en-US"/>
        </w:rPr>
      </w:pPr>
    </w:p>
    <w:p w14:paraId="5E5080A1" w14:textId="30BCD655" w:rsidR="008B44E9" w:rsidRDefault="008B44E9" w:rsidP="008B44E9">
      <w:pPr>
        <w:rPr>
          <w:lang w:val="en-US"/>
        </w:rPr>
      </w:pPr>
      <w:r w:rsidRPr="008B44E9">
        <w:rPr>
          <w:lang w:val="en-US"/>
        </w:rPr>
        <w:t>###</w:t>
      </w:r>
    </w:p>
    <w:p w14:paraId="115EB8FE" w14:textId="77777777" w:rsidR="00177EFD" w:rsidRDefault="00177EFD" w:rsidP="008B44E9">
      <w:pPr>
        <w:rPr>
          <w:lang w:val="en-US"/>
        </w:rPr>
        <w:sectPr w:rsidR="00177EFD" w:rsidSect="008B44E9">
          <w:footerReference w:type="even" r:id="rId11"/>
          <w:footerReference w:type="default" r:id="rId12"/>
          <w:headerReference w:type="first" r:id="rId13"/>
          <w:pgSz w:w="11906" w:h="16838" w:code="9"/>
          <w:pgMar w:top="1418" w:right="1418" w:bottom="1418" w:left="1418" w:header="340" w:footer="340" w:gutter="0"/>
          <w:cols w:space="708"/>
          <w:titlePg/>
          <w:docGrid w:linePitch="360"/>
        </w:sectPr>
      </w:pPr>
    </w:p>
    <w:p w14:paraId="18B2E260" w14:textId="77777777" w:rsidR="008B44E9" w:rsidRDefault="008B44E9" w:rsidP="008B44E9">
      <w:pPr>
        <w:rPr>
          <w:lang w:val="en-US"/>
        </w:rPr>
      </w:pPr>
    </w:p>
    <w:p w14:paraId="681BFB8A" w14:textId="77777777" w:rsidR="002B708A" w:rsidRDefault="002B708A" w:rsidP="008B44E9">
      <w:pPr>
        <w:rPr>
          <w:lang w:val="en-US"/>
        </w:rPr>
      </w:pPr>
    </w:p>
    <w:p w14:paraId="51637DB3" w14:textId="573235DA" w:rsidR="008B44E9" w:rsidRPr="008B44E9" w:rsidRDefault="008B44E9" w:rsidP="008B44E9">
      <w:pPr>
        <w:rPr>
          <w:b/>
          <w:bCs/>
          <w:lang w:val="en-US"/>
        </w:rPr>
      </w:pPr>
      <w:r w:rsidRPr="008B44E9">
        <w:rPr>
          <w:b/>
          <w:bCs/>
          <w:lang w:val="en-US"/>
        </w:rPr>
        <w:t>MEDIA CONTACTS</w:t>
      </w:r>
    </w:p>
    <w:p w14:paraId="79EBAE8E" w14:textId="77777777" w:rsidR="00177EFD" w:rsidRDefault="00177EFD" w:rsidP="008B44E9">
      <w:pPr>
        <w:rPr>
          <w:lang w:val="en-US"/>
        </w:rPr>
        <w:sectPr w:rsidR="00177EFD" w:rsidSect="008B44E9">
          <w:pgSz w:w="11906" w:h="16838" w:code="9"/>
          <w:pgMar w:top="1418" w:right="1418" w:bottom="1418" w:left="1418" w:header="340" w:footer="340" w:gutter="0"/>
          <w:cols w:space="708"/>
          <w:titlePg/>
          <w:docGrid w:linePitch="360"/>
        </w:sectPr>
      </w:pPr>
    </w:p>
    <w:p w14:paraId="737158AD" w14:textId="77777777" w:rsidR="008B44E9" w:rsidRDefault="008B44E9" w:rsidP="008B44E9">
      <w:pPr>
        <w:rPr>
          <w:lang w:val="en-US"/>
        </w:rPr>
        <w:sectPr w:rsidR="008B44E9" w:rsidSect="00177EFD">
          <w:type w:val="continuous"/>
          <w:pgSz w:w="11906" w:h="16838" w:code="9"/>
          <w:pgMar w:top="1418" w:right="1418" w:bottom="1418" w:left="1418" w:header="340" w:footer="340" w:gutter="0"/>
          <w:cols w:space="708"/>
          <w:titlePg/>
          <w:docGrid w:linePitch="360"/>
        </w:sectPr>
      </w:pPr>
    </w:p>
    <w:p w14:paraId="3083AE58" w14:textId="4779412E" w:rsidR="003615A4" w:rsidRDefault="008B44E9" w:rsidP="008B44E9">
      <w:pPr>
        <w:rPr>
          <w:lang w:val="en-US"/>
        </w:rPr>
      </w:pPr>
      <w:r w:rsidRPr="008B44E9">
        <w:rPr>
          <w:b/>
          <w:bCs/>
          <w:lang w:val="en-US"/>
        </w:rPr>
        <w:t>Álvaro García Marín</w:t>
      </w:r>
      <w:r w:rsidRPr="008B44E9">
        <w:rPr>
          <w:lang w:val="en-US"/>
        </w:rPr>
        <w:br/>
      </w:r>
      <w:r w:rsidR="003615A4">
        <w:rPr>
          <w:lang w:val="en-US"/>
        </w:rPr>
        <w:t>(</w:t>
      </w:r>
      <w:r w:rsidR="003615A4" w:rsidRPr="003615A4">
        <w:rPr>
          <w:lang w:val="en-US"/>
        </w:rPr>
        <w:t>He/Him/His</w:t>
      </w:r>
      <w:r w:rsidR="003615A4">
        <w:rPr>
          <w:lang w:val="en-US"/>
        </w:rPr>
        <w:t>)</w:t>
      </w:r>
    </w:p>
    <w:p w14:paraId="24C6B013" w14:textId="478E8BF1" w:rsidR="008B44E9" w:rsidRDefault="001B456E" w:rsidP="008B44E9">
      <w:pPr>
        <w:rPr>
          <w:lang w:val="en-US"/>
        </w:rPr>
      </w:pPr>
      <w:r>
        <w:rPr>
          <w:lang w:val="en-US"/>
        </w:rPr>
        <w:t>Assistant Professor</w:t>
      </w:r>
      <w:r w:rsidR="008B44E9" w:rsidRPr="008B44E9">
        <w:rPr>
          <w:lang w:val="en-US"/>
        </w:rPr>
        <w:br/>
        <w:t>University of Málaga</w:t>
      </w:r>
      <w:r w:rsidR="008B44E9" w:rsidRPr="008B44E9">
        <w:rPr>
          <w:lang w:val="en-US"/>
        </w:rPr>
        <w:br/>
        <w:t>agmarin@uma.es</w:t>
      </w:r>
    </w:p>
    <w:p w14:paraId="15186942" w14:textId="77777777" w:rsidR="00177EFD" w:rsidRDefault="00177EFD" w:rsidP="008B44E9">
      <w:pPr>
        <w:rPr>
          <w:b/>
          <w:bCs/>
          <w:lang w:val="en-US"/>
        </w:rPr>
      </w:pPr>
    </w:p>
    <w:p w14:paraId="545BA259" w14:textId="619465F6" w:rsidR="008B44E9" w:rsidRPr="008B44E9" w:rsidRDefault="008B44E9" w:rsidP="008B44E9">
      <w:pPr>
        <w:rPr>
          <w:b/>
          <w:bCs/>
          <w:lang w:val="en-US"/>
        </w:rPr>
      </w:pPr>
      <w:r w:rsidRPr="008B44E9">
        <w:rPr>
          <w:b/>
          <w:bCs/>
          <w:lang w:val="en-US"/>
        </w:rPr>
        <w:t>Anthony Hogg</w:t>
      </w:r>
    </w:p>
    <w:p w14:paraId="108AA55C" w14:textId="77777777" w:rsidR="003615A4" w:rsidRDefault="003615A4" w:rsidP="008B44E9">
      <w:pPr>
        <w:rPr>
          <w:lang w:val="en-US"/>
        </w:rPr>
      </w:pPr>
      <w:r w:rsidRPr="003615A4">
        <w:rPr>
          <w:lang w:val="en-US"/>
        </w:rPr>
        <w:t>(He/Him/His)</w:t>
      </w:r>
    </w:p>
    <w:p w14:paraId="7763A730" w14:textId="45C4586A" w:rsidR="008B44E9" w:rsidRDefault="002B708A" w:rsidP="008B44E9">
      <w:pPr>
        <w:rPr>
          <w:i/>
          <w:iCs/>
          <w:lang w:val="en-US"/>
        </w:rPr>
      </w:pPr>
      <w:r>
        <w:rPr>
          <w:lang w:val="en-US"/>
        </w:rPr>
        <w:t>President</w:t>
      </w:r>
    </w:p>
    <w:p w14:paraId="63B68B7A" w14:textId="1880AE0E" w:rsidR="00C81F76" w:rsidRPr="00C81F76" w:rsidRDefault="00C81F76" w:rsidP="008B44E9">
      <w:pPr>
        <w:rPr>
          <w:lang w:val="en-US"/>
        </w:rPr>
      </w:pPr>
      <w:r>
        <w:rPr>
          <w:lang w:val="en-US"/>
        </w:rPr>
        <w:t>Vampire Studies Association</w:t>
      </w:r>
    </w:p>
    <w:p w14:paraId="142495FD" w14:textId="429B76CD" w:rsidR="008B44E9" w:rsidRDefault="00177EFD" w:rsidP="008B44E9">
      <w:pPr>
        <w:rPr>
          <w:lang w:val="en-US"/>
        </w:rPr>
      </w:pPr>
      <w:r w:rsidRPr="00177EFD">
        <w:rPr>
          <w:lang w:val="en-US"/>
        </w:rPr>
        <w:t>info@vampirestudies.org</w:t>
      </w:r>
    </w:p>
    <w:p w14:paraId="3B5249F5" w14:textId="77777777" w:rsidR="00177EFD" w:rsidRDefault="00177EFD" w:rsidP="008B44E9">
      <w:pPr>
        <w:rPr>
          <w:lang w:val="en-US"/>
        </w:rPr>
      </w:pPr>
    </w:p>
    <w:p w14:paraId="7766CAF1" w14:textId="0A082645" w:rsidR="00897389" w:rsidRPr="00897389" w:rsidRDefault="00897389" w:rsidP="008B44E9">
      <w:pPr>
        <w:rPr>
          <w:b/>
          <w:bCs/>
          <w:lang w:val="en-US"/>
        </w:rPr>
      </w:pPr>
      <w:r w:rsidRPr="00897389">
        <w:rPr>
          <w:b/>
          <w:bCs/>
          <w:lang w:val="en-US"/>
        </w:rPr>
        <w:t>James D. Jenkins</w:t>
      </w:r>
    </w:p>
    <w:p w14:paraId="7C3C2CE5" w14:textId="77777777" w:rsidR="003615A4" w:rsidRDefault="003615A4" w:rsidP="008B44E9">
      <w:pPr>
        <w:rPr>
          <w:lang w:val="en-US"/>
        </w:rPr>
      </w:pPr>
      <w:r w:rsidRPr="003615A4">
        <w:rPr>
          <w:lang w:val="en-US"/>
        </w:rPr>
        <w:t>(He/Him/His)</w:t>
      </w:r>
    </w:p>
    <w:p w14:paraId="1BE34482" w14:textId="04A9AC1B" w:rsidR="00897389" w:rsidRDefault="00897389" w:rsidP="008B44E9">
      <w:pPr>
        <w:rPr>
          <w:lang w:val="en-US"/>
        </w:rPr>
      </w:pPr>
      <w:r w:rsidRPr="00897389">
        <w:rPr>
          <w:lang w:val="en-US"/>
        </w:rPr>
        <w:t>Publisher</w:t>
      </w:r>
    </w:p>
    <w:p w14:paraId="51C35576" w14:textId="13340943" w:rsidR="00897389" w:rsidRDefault="00897389" w:rsidP="008B44E9">
      <w:pPr>
        <w:rPr>
          <w:lang w:val="en-US"/>
        </w:rPr>
      </w:pPr>
      <w:r w:rsidRPr="00897389">
        <w:rPr>
          <w:lang w:val="en-US"/>
        </w:rPr>
        <w:t>Valancourt Books</w:t>
      </w:r>
    </w:p>
    <w:p w14:paraId="08D473E7" w14:textId="4AE7E905" w:rsidR="00897389" w:rsidRDefault="00897389" w:rsidP="008B44E9">
      <w:pPr>
        <w:rPr>
          <w:lang w:val="en-US"/>
        </w:rPr>
      </w:pPr>
      <w:r w:rsidRPr="00897389">
        <w:rPr>
          <w:lang w:val="en-US"/>
        </w:rPr>
        <w:t>jjenkins@valancourtbooks.com</w:t>
      </w:r>
    </w:p>
    <w:p w14:paraId="0BD9DAD1" w14:textId="77777777" w:rsidR="00C81F76" w:rsidRDefault="00C81F76" w:rsidP="008B44E9">
      <w:pPr>
        <w:rPr>
          <w:lang w:val="en-US"/>
        </w:rPr>
      </w:pPr>
    </w:p>
    <w:p w14:paraId="626B12EF" w14:textId="78762C61" w:rsidR="001B456E" w:rsidRPr="001B456E" w:rsidRDefault="001B456E" w:rsidP="008B44E9">
      <w:pPr>
        <w:rPr>
          <w:b/>
          <w:lang w:val="en-US"/>
        </w:rPr>
      </w:pPr>
      <w:r w:rsidRPr="001B456E">
        <w:rPr>
          <w:b/>
          <w:lang w:val="en-US"/>
        </w:rPr>
        <w:t>Daichi Moriguchi</w:t>
      </w:r>
    </w:p>
    <w:p w14:paraId="7608B89D" w14:textId="77777777" w:rsidR="003615A4" w:rsidRDefault="003615A4" w:rsidP="008B44E9">
      <w:pPr>
        <w:rPr>
          <w:lang w:val="en-US"/>
        </w:rPr>
      </w:pPr>
      <w:r w:rsidRPr="003615A4">
        <w:rPr>
          <w:lang w:val="en-US"/>
        </w:rPr>
        <w:t>(He/Him/His)</w:t>
      </w:r>
    </w:p>
    <w:p w14:paraId="40C248F8" w14:textId="55E61036" w:rsidR="001B456E" w:rsidRDefault="001B456E" w:rsidP="008B44E9">
      <w:pPr>
        <w:rPr>
          <w:lang w:val="en-US"/>
        </w:rPr>
      </w:pPr>
      <w:r>
        <w:rPr>
          <w:lang w:val="en-US"/>
        </w:rPr>
        <w:t>Lecturer</w:t>
      </w:r>
    </w:p>
    <w:p w14:paraId="2B13EBB2" w14:textId="6959EAC3" w:rsidR="001B456E" w:rsidRDefault="001B456E" w:rsidP="008B44E9">
      <w:pPr>
        <w:rPr>
          <w:lang w:val="en-US"/>
        </w:rPr>
      </w:pPr>
      <w:r w:rsidRPr="001B456E">
        <w:rPr>
          <w:lang w:val="en-US"/>
        </w:rPr>
        <w:t>Ritsumeikan University</w:t>
      </w:r>
    </w:p>
    <w:p w14:paraId="689180B8" w14:textId="06028E26" w:rsidR="001B456E" w:rsidRDefault="001B456E" w:rsidP="008B44E9">
      <w:pPr>
        <w:rPr>
          <w:lang w:val="en-US"/>
        </w:rPr>
      </w:pPr>
      <w:r w:rsidRPr="001B456E">
        <w:rPr>
          <w:lang w:val="en-US"/>
        </w:rPr>
        <w:t>v4mpirologi5t@gmail.com</w:t>
      </w:r>
    </w:p>
    <w:p w14:paraId="52FF9A88" w14:textId="77777777" w:rsidR="001B456E" w:rsidRDefault="001B456E" w:rsidP="008B44E9">
      <w:pPr>
        <w:rPr>
          <w:lang w:val="en-US"/>
        </w:rPr>
        <w:sectPr w:rsidR="001B456E" w:rsidSect="001B456E">
          <w:type w:val="continuous"/>
          <w:pgSz w:w="11906" w:h="16838" w:code="9"/>
          <w:pgMar w:top="1418" w:right="1418" w:bottom="1418" w:left="1418" w:header="340" w:footer="340" w:gutter="0"/>
          <w:cols w:num="2" w:space="708"/>
          <w:titlePg/>
          <w:docGrid w:linePitch="360"/>
        </w:sectPr>
      </w:pPr>
    </w:p>
    <w:p w14:paraId="362D6A6B" w14:textId="77777777" w:rsidR="002B708A" w:rsidRDefault="002B708A" w:rsidP="00E46FC8">
      <w:pPr>
        <w:rPr>
          <w:lang w:val="en-US"/>
        </w:rPr>
      </w:pPr>
    </w:p>
    <w:p w14:paraId="5E63E87F" w14:textId="2803D5CA" w:rsidR="008B44E9" w:rsidRPr="006A3C3E" w:rsidRDefault="006A3C3E" w:rsidP="00E46FC8">
      <w:pPr>
        <w:rPr>
          <w:lang w:val="en-US"/>
        </w:rPr>
        <w:sectPr w:rsidR="008B44E9" w:rsidRPr="006A3C3E" w:rsidSect="00177EFD">
          <w:type w:val="continuous"/>
          <w:pgSz w:w="11906" w:h="16838" w:code="9"/>
          <w:pgMar w:top="1418" w:right="1418" w:bottom="1418" w:left="1418" w:header="340" w:footer="340" w:gutter="0"/>
          <w:cols w:space="708"/>
          <w:titlePg/>
          <w:docGrid w:linePitch="360"/>
        </w:sectPr>
      </w:pPr>
      <w:r>
        <w:rPr>
          <w:lang w:val="en-US"/>
        </w:rPr>
        <w:t xml:space="preserve">For review copies of </w:t>
      </w:r>
      <w:r w:rsidRPr="006A3C3E">
        <w:rPr>
          <w:i/>
          <w:iCs/>
          <w:lang w:val="en-US"/>
        </w:rPr>
        <w:t>The Vampire of Vourla</w:t>
      </w:r>
      <w:r w:rsidRPr="006A3C3E">
        <w:rPr>
          <w:rFonts w:ascii="Tahoma" w:hAnsi="Tahoma" w:cs="Tahoma"/>
          <w:i/>
          <w:iCs/>
          <w:lang w:val="en-US"/>
        </w:rPr>
        <w:t>﻿</w:t>
      </w:r>
      <w:r w:rsidRPr="006A3C3E">
        <w:rPr>
          <w:i/>
          <w:iCs/>
          <w:lang w:val="en-US"/>
        </w:rPr>
        <w:t>, and Other Greek Vampire Tales, 1819-1846</w:t>
      </w:r>
      <w:r>
        <w:rPr>
          <w:lang w:val="en-US"/>
        </w:rPr>
        <w:t xml:space="preserve">, contact James D. Jenkins at </w:t>
      </w:r>
      <w:r w:rsidRPr="006A3C3E">
        <w:t>jjenkins@valancourtbooks.com</w:t>
      </w:r>
      <w:r>
        <w:t>.</w:t>
      </w:r>
    </w:p>
    <w:p w14:paraId="6C726F76" w14:textId="77777777" w:rsidR="001B456E" w:rsidRDefault="001B456E" w:rsidP="00E46FC8">
      <w:pPr>
        <w:rPr>
          <w:b/>
          <w:bCs/>
        </w:rPr>
      </w:pPr>
    </w:p>
    <w:p w14:paraId="4604C668" w14:textId="77777777" w:rsidR="006A3C3E" w:rsidRDefault="006A3C3E" w:rsidP="00E46FC8">
      <w:pPr>
        <w:rPr>
          <w:b/>
          <w:bCs/>
        </w:rPr>
      </w:pPr>
    </w:p>
    <w:p w14:paraId="46E9D7C8" w14:textId="77777777" w:rsidR="002B708A" w:rsidRPr="00C81F76" w:rsidRDefault="002B708A" w:rsidP="002B708A">
      <w:pPr>
        <w:rPr>
          <w:b/>
          <w:bCs/>
          <w:lang w:val="en-US"/>
        </w:rPr>
      </w:pPr>
      <w:r w:rsidRPr="00C81F76">
        <w:rPr>
          <w:b/>
          <w:bCs/>
          <w:lang w:val="en-US"/>
        </w:rPr>
        <w:t>ABOUT</w:t>
      </w:r>
    </w:p>
    <w:p w14:paraId="1407EF26" w14:textId="77777777" w:rsidR="002B708A" w:rsidRDefault="002B708A" w:rsidP="002B708A">
      <w:pPr>
        <w:rPr>
          <w:lang w:val="en-US"/>
        </w:rPr>
      </w:pPr>
    </w:p>
    <w:p w14:paraId="0F6E2FF7" w14:textId="77777777" w:rsidR="002B708A" w:rsidRDefault="002B708A" w:rsidP="002B708A">
      <w:pPr>
        <w:rPr>
          <w:lang w:val="en-US"/>
        </w:rPr>
      </w:pPr>
      <w:r>
        <w:rPr>
          <w:lang w:val="en-US"/>
        </w:rPr>
        <w:t xml:space="preserve">The Vampire Studies Association is a not-for-profit organization founded at City Library, Melbourne, Australia, on October 31, 2018, </w:t>
      </w:r>
      <w:r w:rsidRPr="00C81F76">
        <w:rPr>
          <w:lang w:val="en-US"/>
        </w:rPr>
        <w:t>“to establish vampire studies as a multidisciplinary field by promoting, disseminating and publishing contributions to vampire scholarship.”</w:t>
      </w:r>
      <w:r>
        <w:rPr>
          <w:lang w:val="en-US"/>
        </w:rPr>
        <w:t xml:space="preserve"> It publishes the </w:t>
      </w:r>
      <w:r w:rsidRPr="002C16DB">
        <w:rPr>
          <w:i/>
          <w:iCs/>
          <w:lang w:val="en-US"/>
        </w:rPr>
        <w:t>Journal of Vampire Studies</w:t>
      </w:r>
      <w:r>
        <w:rPr>
          <w:lang w:val="en-US"/>
        </w:rPr>
        <w:t xml:space="preserve"> as a platform for vampire scholars to share their research. For more information about the association, visit https://vampirestudies.org/about.</w:t>
      </w:r>
    </w:p>
    <w:p w14:paraId="1F37D786" w14:textId="77777777" w:rsidR="002B708A" w:rsidRDefault="002B708A" w:rsidP="00E46FC8">
      <w:pPr>
        <w:rPr>
          <w:b/>
          <w:bCs/>
        </w:rPr>
      </w:pPr>
    </w:p>
    <w:p w14:paraId="7AB9B621" w14:textId="77777777" w:rsidR="002B708A" w:rsidRDefault="002B708A" w:rsidP="00E46FC8">
      <w:pPr>
        <w:rPr>
          <w:b/>
          <w:bCs/>
        </w:rPr>
      </w:pPr>
    </w:p>
    <w:p w14:paraId="0F520046" w14:textId="2A56307A" w:rsidR="00E46FC8" w:rsidRPr="00177EFD" w:rsidRDefault="002B708A" w:rsidP="00E46FC8">
      <w:pPr>
        <w:rPr>
          <w:b/>
          <w:bCs/>
        </w:rPr>
      </w:pPr>
      <w:r>
        <w:rPr>
          <w:b/>
          <w:bCs/>
        </w:rPr>
        <w:t>RELEVANT LINKS</w:t>
      </w:r>
    </w:p>
    <w:p w14:paraId="0DEEC2DD" w14:textId="77777777" w:rsidR="00177EFD" w:rsidRDefault="00177EFD" w:rsidP="00E46FC8"/>
    <w:p w14:paraId="3C34A1A0" w14:textId="35D92D7D" w:rsidR="00177EFD" w:rsidRDefault="00177EFD" w:rsidP="00E46FC8">
      <w:r w:rsidRPr="00177EFD">
        <w:t>Álvaro García Marín</w:t>
      </w:r>
      <w:r>
        <w:t>, “</w:t>
      </w:r>
      <w:r w:rsidRPr="00177EFD">
        <w:t>The Significance of ‘The Vampire of Vourla’ to Nineteenth-Century Vampire Fiction</w:t>
      </w:r>
      <w:r>
        <w:t xml:space="preserve">,” </w:t>
      </w:r>
      <w:r w:rsidRPr="00177EFD">
        <w:rPr>
          <w:i/>
          <w:iCs/>
        </w:rPr>
        <w:t>Journal of Vampire Studies</w:t>
      </w:r>
      <w:r>
        <w:t xml:space="preserve"> 3 (2023): </w:t>
      </w:r>
      <w:r w:rsidR="00C81F76" w:rsidRPr="00C81F76">
        <w:t>46–83</w:t>
      </w:r>
      <w:r w:rsidR="00C81F76">
        <w:t>,</w:t>
      </w:r>
      <w:r w:rsidR="00C81F76" w:rsidRPr="00C81F76">
        <w:t xml:space="preserve"> https://archive.org/details/journal_of_vampire_studies_3_2023</w:t>
      </w:r>
      <w:r w:rsidR="00C81F76">
        <w:t>.</w:t>
      </w:r>
    </w:p>
    <w:p w14:paraId="7EF26E74" w14:textId="77777777" w:rsidR="00177EFD" w:rsidRDefault="00177EFD" w:rsidP="00E46FC8"/>
    <w:p w14:paraId="32660C79" w14:textId="5F9A90F0" w:rsidR="00177EFD" w:rsidRDefault="00177EFD" w:rsidP="00E46FC8">
      <w:r>
        <w:t xml:space="preserve">Anthony Hogg, “Publication Date of ‘The Vampire of Vourla,’” </w:t>
      </w:r>
      <w:r w:rsidRPr="00177EFD">
        <w:rPr>
          <w:i/>
          <w:iCs/>
        </w:rPr>
        <w:t>Journal of Vampire Studies</w:t>
      </w:r>
      <w:r>
        <w:t xml:space="preserve"> 3 (2023): </w:t>
      </w:r>
      <w:r w:rsidR="00C81F76" w:rsidRPr="00C81F76">
        <w:t>90–99</w:t>
      </w:r>
      <w:r w:rsidR="00C81F76">
        <w:t xml:space="preserve">, </w:t>
      </w:r>
      <w:r w:rsidR="00897389" w:rsidRPr="00897389">
        <w:t>https://archive.org/details/journal_of_vampire_studies_3_2023</w:t>
      </w:r>
      <w:r w:rsidR="00C81F76">
        <w:t>.</w:t>
      </w:r>
    </w:p>
    <w:p w14:paraId="74B76AE7" w14:textId="77777777" w:rsidR="00897389" w:rsidRDefault="00897389" w:rsidP="00E46FC8"/>
    <w:p w14:paraId="4988405E" w14:textId="385FB3C7" w:rsidR="003F00E3" w:rsidRDefault="003F00E3" w:rsidP="00E46FC8">
      <w:pPr>
        <w:rPr>
          <w:rFonts w:cs="Arial"/>
        </w:rPr>
      </w:pPr>
      <w:r w:rsidRPr="003F00E3">
        <w:rPr>
          <w:rFonts w:cs="Arial"/>
        </w:rPr>
        <w:t>Dean Kalimniou</w:t>
      </w:r>
      <w:r>
        <w:rPr>
          <w:rFonts w:cs="Arial"/>
        </w:rPr>
        <w:t>, “</w:t>
      </w:r>
      <w:r w:rsidRPr="003F00E3">
        <w:rPr>
          <w:rFonts w:cs="Arial"/>
        </w:rPr>
        <w:t>Diatribe: Rediscovering Greek Vampires</w:t>
      </w:r>
      <w:r>
        <w:rPr>
          <w:rFonts w:cs="Arial"/>
        </w:rPr>
        <w:t xml:space="preserve">,” Dialogue, </w:t>
      </w:r>
      <w:r w:rsidRPr="003F00E3">
        <w:rPr>
          <w:rFonts w:cs="Arial"/>
          <w:i/>
        </w:rPr>
        <w:t>Neos Kosmos</w:t>
      </w:r>
      <w:r>
        <w:rPr>
          <w:rFonts w:cs="Arial"/>
        </w:rPr>
        <w:t xml:space="preserve">, </w:t>
      </w:r>
      <w:r w:rsidRPr="003F00E3">
        <w:rPr>
          <w:rFonts w:cs="Arial"/>
        </w:rPr>
        <w:t>February</w:t>
      </w:r>
      <w:r>
        <w:rPr>
          <w:rFonts w:cs="Arial"/>
        </w:rPr>
        <w:t xml:space="preserve"> 18,</w:t>
      </w:r>
      <w:r w:rsidRPr="003F00E3">
        <w:rPr>
          <w:rFonts w:cs="Arial"/>
        </w:rPr>
        <w:t xml:space="preserve"> 2024</w:t>
      </w:r>
      <w:r>
        <w:rPr>
          <w:rFonts w:cs="Arial"/>
        </w:rPr>
        <w:t xml:space="preserve">, </w:t>
      </w:r>
      <w:r w:rsidRPr="003F00E3">
        <w:rPr>
          <w:rFonts w:cs="Arial"/>
        </w:rPr>
        <w:t>https://neoskosmos.com/en/2024/02/18/dialogue/opinion/diatribe-rediscovering-greek-vampires/</w:t>
      </w:r>
      <w:r>
        <w:rPr>
          <w:rFonts w:cs="Arial"/>
        </w:rPr>
        <w:t>.</w:t>
      </w:r>
    </w:p>
    <w:p w14:paraId="07D0B1A0" w14:textId="77777777" w:rsidR="003F00E3" w:rsidRDefault="003F00E3" w:rsidP="00E46FC8">
      <w:pPr>
        <w:rPr>
          <w:rFonts w:cs="Arial"/>
        </w:rPr>
      </w:pPr>
    </w:p>
    <w:p w14:paraId="70B7E346" w14:textId="13AA2703" w:rsidR="002B708A" w:rsidRPr="00395405" w:rsidRDefault="0075297C" w:rsidP="00E46FC8">
      <w:pPr>
        <w:rPr>
          <w:rFonts w:cs="Arial"/>
        </w:rPr>
      </w:pPr>
      <w:r w:rsidRPr="0075297C">
        <w:rPr>
          <w:rFonts w:cs="Arial"/>
        </w:rPr>
        <w:t xml:space="preserve">Daichi Moriguchi, “Ijin-ron de yomitoku vanpaia: 'Vurura no vanpaia' to Polidori 'Vanpaia' no hikaku kara” </w:t>
      </w:r>
      <w:r w:rsidRPr="0075297C">
        <w:rPr>
          <w:rFonts w:ascii="MS Gothic" w:eastAsia="MS Gothic" w:hAnsi="MS Gothic" w:cs="MS Gothic" w:hint="eastAsia"/>
        </w:rPr>
        <w:t>異人論で読み解くヴァンパイアーー『ヴルラのヴァンパイア（</w:t>
      </w:r>
      <w:r w:rsidRPr="0075297C">
        <w:rPr>
          <w:rFonts w:cs="Arial"/>
        </w:rPr>
        <w:t>The Vampire of Vourla)</w:t>
      </w:r>
      <w:r w:rsidRPr="0075297C">
        <w:rPr>
          <w:rFonts w:ascii="MS Gothic" w:eastAsia="MS Gothic" w:hAnsi="MS Gothic" w:cs="MS Gothic" w:hint="eastAsia"/>
        </w:rPr>
        <w:t>』とポリドリ『ヴァンパイア』の比較から</w:t>
      </w:r>
      <w:r w:rsidRPr="0075297C">
        <w:rPr>
          <w:rFonts w:cs="Arial"/>
        </w:rPr>
        <w:t xml:space="preserve"> [Reading the vampire through theories of the Other: A comparison between “The Vampire of Vourla” and Polidori’s “The Vampyre”] (Paper presented at the second consecutive study session of “Sekai bungaku to ‘i naru mono’” </w:t>
      </w:r>
      <w:r w:rsidRPr="0075297C">
        <w:rPr>
          <w:rFonts w:ascii="MS Gothic" w:eastAsia="MS Gothic" w:hAnsi="MS Gothic" w:cs="MS Gothic" w:hint="eastAsia"/>
        </w:rPr>
        <w:t>世界文学と『異なるもの』</w:t>
      </w:r>
      <w:r w:rsidRPr="0075297C">
        <w:rPr>
          <w:rFonts w:cs="Arial"/>
        </w:rPr>
        <w:t xml:space="preserve">[World literature and “the Other”] for the Society of World Literature, </w:t>
      </w:r>
      <w:bookmarkStart w:id="1" w:name="_Hlk166749055"/>
      <w:r w:rsidRPr="0075297C">
        <w:rPr>
          <w:rFonts w:cs="Arial"/>
        </w:rPr>
        <w:t>Ryukoku University</w:t>
      </w:r>
      <w:bookmarkEnd w:id="1"/>
      <w:r w:rsidRPr="0075297C">
        <w:rPr>
          <w:rFonts w:cs="Arial"/>
        </w:rPr>
        <w:t>, Fukakusa Campus, Kyoto, April 20, 2024</w:t>
      </w:r>
      <w:r w:rsidR="00495B5F">
        <w:rPr>
          <w:rFonts w:cs="Arial"/>
        </w:rPr>
        <w:t>)</w:t>
      </w:r>
      <w:r w:rsidRPr="0075297C">
        <w:rPr>
          <w:rFonts w:cs="Arial"/>
        </w:rPr>
        <w:t xml:space="preserve">, </w:t>
      </w:r>
      <w:r w:rsidR="002B708A" w:rsidRPr="002B708A">
        <w:rPr>
          <w:rFonts w:cs="Arial"/>
        </w:rPr>
        <w:t>https://researchmap.jp/vampirforscher/presentations/46235698</w:t>
      </w:r>
      <w:r w:rsidR="00897389" w:rsidRPr="00395405">
        <w:rPr>
          <w:rFonts w:cs="Arial"/>
        </w:rPr>
        <w:t>.</w:t>
      </w:r>
    </w:p>
    <w:sectPr w:rsidR="002B708A" w:rsidRPr="00395405" w:rsidSect="008B44E9">
      <w:type w:val="continuous"/>
      <w:pgSz w:w="11906" w:h="16838" w:code="9"/>
      <w:pgMar w:top="1418" w:right="1418" w:bottom="1418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83C3F" w14:textId="77777777" w:rsidR="00C05A5A" w:rsidRDefault="00C05A5A">
      <w:r>
        <w:separator/>
      </w:r>
    </w:p>
  </w:endnote>
  <w:endnote w:type="continuationSeparator" w:id="0">
    <w:p w14:paraId="4982AD0F" w14:textId="77777777" w:rsidR="00C05A5A" w:rsidRDefault="00C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98EA6" w14:textId="6C369C33" w:rsidR="00187866" w:rsidRDefault="0018786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133888" wp14:editId="5D1352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1002609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77B5C3" w14:textId="7B84B82D" w:rsidR="00187866" w:rsidRPr="00187866" w:rsidRDefault="00187866" w:rsidP="001878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878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338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077B5C3" w14:textId="7B84B82D" w:rsidR="00187866" w:rsidRPr="00187866" w:rsidRDefault="00187866" w:rsidP="001878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8786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5E11B" w14:textId="5826BF4C" w:rsidR="00187866" w:rsidRDefault="0018786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85B2A7" wp14:editId="62CA7F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177298750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5C571E" w14:textId="5C870040" w:rsidR="00187866" w:rsidRPr="00187866" w:rsidRDefault="00187866" w:rsidP="001878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878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5B2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75C571E" w14:textId="5C870040" w:rsidR="00187866" w:rsidRPr="00187866" w:rsidRDefault="00187866" w:rsidP="001878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8786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95DD5" w14:textId="77777777" w:rsidR="00C05A5A" w:rsidRDefault="00C05A5A">
      <w:r>
        <w:separator/>
      </w:r>
    </w:p>
  </w:footnote>
  <w:footnote w:type="continuationSeparator" w:id="0">
    <w:p w14:paraId="5403FBB8" w14:textId="77777777" w:rsidR="00C05A5A" w:rsidRDefault="00C0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7F9DD" w14:textId="07649EE3" w:rsidR="008B44E9" w:rsidRDefault="008B44E9" w:rsidP="008B44E9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18ADE9F6" wp14:editId="38BEB64E">
          <wp:extent cx="2019300" cy="495300"/>
          <wp:effectExtent l="0" t="0" r="0" b="0"/>
          <wp:docPr id="3620149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A7D356" w14:textId="77777777" w:rsidR="008B44E9" w:rsidRDefault="008B44E9" w:rsidP="008B44E9">
    <w:pPr>
      <w:pStyle w:val="Header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NLG0tLAwMra0NDNV0lEKTi0uzszPAykwqgUAACtWYiwAAAA="/>
  </w:docVars>
  <w:rsids>
    <w:rsidRoot w:val="008B44E9"/>
    <w:rsid w:val="0003713D"/>
    <w:rsid w:val="000654D3"/>
    <w:rsid w:val="00084A93"/>
    <w:rsid w:val="000D0778"/>
    <w:rsid w:val="00120AF2"/>
    <w:rsid w:val="00174BCC"/>
    <w:rsid w:val="00177EFD"/>
    <w:rsid w:val="00187866"/>
    <w:rsid w:val="00197669"/>
    <w:rsid w:val="001B456E"/>
    <w:rsid w:val="001C30C7"/>
    <w:rsid w:val="00271E02"/>
    <w:rsid w:val="002A5078"/>
    <w:rsid w:val="002B708A"/>
    <w:rsid w:val="002C16DB"/>
    <w:rsid w:val="00341A9F"/>
    <w:rsid w:val="003615A4"/>
    <w:rsid w:val="00395405"/>
    <w:rsid w:val="003D1EE6"/>
    <w:rsid w:val="003E783E"/>
    <w:rsid w:val="003F00E3"/>
    <w:rsid w:val="004234B8"/>
    <w:rsid w:val="004922E7"/>
    <w:rsid w:val="00495B5F"/>
    <w:rsid w:val="004B42E9"/>
    <w:rsid w:val="005348A5"/>
    <w:rsid w:val="005544A6"/>
    <w:rsid w:val="00582F0D"/>
    <w:rsid w:val="00593E8C"/>
    <w:rsid w:val="005C04D1"/>
    <w:rsid w:val="005F0378"/>
    <w:rsid w:val="00636F23"/>
    <w:rsid w:val="006473D7"/>
    <w:rsid w:val="006A3C3E"/>
    <w:rsid w:val="006A4532"/>
    <w:rsid w:val="006A553C"/>
    <w:rsid w:val="006B0181"/>
    <w:rsid w:val="00711343"/>
    <w:rsid w:val="00730218"/>
    <w:rsid w:val="0075297C"/>
    <w:rsid w:val="00757C81"/>
    <w:rsid w:val="007A0058"/>
    <w:rsid w:val="0080188D"/>
    <w:rsid w:val="00852AEF"/>
    <w:rsid w:val="00864D1D"/>
    <w:rsid w:val="00897389"/>
    <w:rsid w:val="008B44E9"/>
    <w:rsid w:val="008D5F5B"/>
    <w:rsid w:val="0091755F"/>
    <w:rsid w:val="00920FF1"/>
    <w:rsid w:val="00933159"/>
    <w:rsid w:val="00941F3F"/>
    <w:rsid w:val="009901CE"/>
    <w:rsid w:val="009E76D2"/>
    <w:rsid w:val="009F4031"/>
    <w:rsid w:val="00A54159"/>
    <w:rsid w:val="00A74950"/>
    <w:rsid w:val="00B27168"/>
    <w:rsid w:val="00B64D29"/>
    <w:rsid w:val="00B73881"/>
    <w:rsid w:val="00B8088B"/>
    <w:rsid w:val="00BC77B3"/>
    <w:rsid w:val="00BD519F"/>
    <w:rsid w:val="00C05A5A"/>
    <w:rsid w:val="00C65529"/>
    <w:rsid w:val="00C76807"/>
    <w:rsid w:val="00C7707E"/>
    <w:rsid w:val="00C81F76"/>
    <w:rsid w:val="00C9564F"/>
    <w:rsid w:val="00CF1532"/>
    <w:rsid w:val="00D03730"/>
    <w:rsid w:val="00D04C89"/>
    <w:rsid w:val="00D07A50"/>
    <w:rsid w:val="00DA4001"/>
    <w:rsid w:val="00E370BB"/>
    <w:rsid w:val="00E4403F"/>
    <w:rsid w:val="00E46FC8"/>
    <w:rsid w:val="00E654A9"/>
    <w:rsid w:val="00EC391C"/>
    <w:rsid w:val="00EF387F"/>
    <w:rsid w:val="00EF7A12"/>
    <w:rsid w:val="00F101E3"/>
    <w:rsid w:val="00F16A56"/>
    <w:rsid w:val="00F40742"/>
    <w:rsid w:val="00F6542B"/>
    <w:rsid w:val="00FD66B2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AB000A"/>
  <w15:docId w15:val="{9FCCC411-075D-4C46-9BCA-AF76C1FC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602"/>
    <w:rPr>
      <w:rFonts w:ascii="Arial" w:hAnsi="Arial"/>
      <w:sz w:val="22"/>
      <w:szCs w:val="22"/>
      <w:lang w:eastAsia="en-AU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</w:style>
  <w:style w:type="paragraph" w:customStyle="1" w:styleId="l2text">
    <w:name w:val="l2text"/>
    <w:basedOn w:val="Normal"/>
    <w:rsid w:val="002C6602"/>
    <w:pPr>
      <w:ind w:left="709"/>
    </w:pPr>
  </w:style>
  <w:style w:type="paragraph" w:customStyle="1" w:styleId="l3text">
    <w:name w:val="l3text"/>
    <w:basedOn w:val="Normal"/>
    <w:rsid w:val="002C6602"/>
    <w:pPr>
      <w:ind w:left="1418"/>
    </w:pPr>
  </w:style>
  <w:style w:type="paragraph" w:customStyle="1" w:styleId="l4text">
    <w:name w:val="l4text"/>
    <w:basedOn w:val="Normal"/>
    <w:rsid w:val="002C6602"/>
    <w:pPr>
      <w:ind w:left="2126"/>
    </w:p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B44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4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EF7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7A12"/>
    <w:rPr>
      <w:rFonts w:ascii="Tahoma" w:hAnsi="Tahoma" w:cs="Tahoma"/>
      <w:sz w:val="16"/>
      <w:szCs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B7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8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912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1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4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858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41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gg3\AppData\Local\Temp\Templafy\WordVsto\xfrdouy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TemplateConfiguration><![CDATA[{"elementsMetadata":[],"transformationConfigurations":[],"templateName":"Holmesglen generic 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14BD418C1A84DA701E30ABCA956E8" ma:contentTypeVersion="7" ma:contentTypeDescription="Create a new document." ma:contentTypeScope="" ma:versionID="eff698d29aae4948322d04d1c105ed23">
  <xsd:schema xmlns:xsd="http://www.w3.org/2001/XMLSchema" xmlns:xs="http://www.w3.org/2001/XMLSchema" xmlns:p="http://schemas.microsoft.com/office/2006/metadata/properties" xmlns:ns3="6314c7b0-89c5-41c6-874d-a9f5096d8902" xmlns:ns4="78ba5e4c-a0db-448c-a5a8-e618aa730464" targetNamespace="http://schemas.microsoft.com/office/2006/metadata/properties" ma:root="true" ma:fieldsID="2eed497e366b85e169a368fcbd9af088" ns3:_="" ns4:_="">
    <xsd:import namespace="6314c7b0-89c5-41c6-874d-a9f5096d8902"/>
    <xsd:import namespace="78ba5e4c-a0db-448c-a5a8-e618aa730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c7b0-89c5-41c6-874d-a9f5096d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5e4c-a0db-448c-a5a8-e618aa730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14c7b0-89c5-41c6-874d-a9f5096d8902" xsi:nil="true"/>
  </documentManagement>
</p:properties>
</file>

<file path=customXml/itemProps1.xml><?xml version="1.0" encoding="utf-8"?>
<ds:datastoreItem xmlns:ds="http://schemas.openxmlformats.org/officeDocument/2006/customXml" ds:itemID="{665BDDC9-7E46-4D3C-B90D-067A80FEE8B8}">
  <ds:schemaRefs/>
</ds:datastoreItem>
</file>

<file path=customXml/itemProps2.xml><?xml version="1.0" encoding="utf-8"?>
<ds:datastoreItem xmlns:ds="http://schemas.openxmlformats.org/officeDocument/2006/customXml" ds:itemID="{09D9B021-941A-4DED-96B1-97B5BD86D37B}">
  <ds:schemaRefs/>
</ds:datastoreItem>
</file>

<file path=customXml/itemProps3.xml><?xml version="1.0" encoding="utf-8"?>
<ds:datastoreItem xmlns:ds="http://schemas.openxmlformats.org/officeDocument/2006/customXml" ds:itemID="{C1920685-3743-41DB-A809-0E253B313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4c7b0-89c5-41c6-874d-a9f5096d8902"/>
    <ds:schemaRef ds:uri="78ba5e4c-a0db-448c-a5a8-e618aa73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10F6C-ACF0-45A8-A1DF-3E1E8F2BB7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C2290A-8FA0-4BC1-B9DB-CB67CF9CB674}">
  <ds:schemaRefs>
    <ds:schemaRef ds:uri="http://schemas.microsoft.com/office/2006/metadata/properties"/>
    <ds:schemaRef ds:uri="http://schemas.microsoft.com/office/infopath/2007/PartnerControls"/>
    <ds:schemaRef ds:uri="6314c7b0-89c5-41c6-874d-a9f5096d89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xfrdouy2.dotx</Template>
  <TotalTime>1297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Hogg</dc:creator>
  <cp:keywords/>
  <dc:description/>
  <cp:lastModifiedBy>Anthony Hogg</cp:lastModifiedBy>
  <cp:revision>24</cp:revision>
  <dcterms:created xsi:type="dcterms:W3CDTF">2024-05-08T02:10:00Z</dcterms:created>
  <dcterms:modified xsi:type="dcterms:W3CDTF">2024-05-22T00:55:00Z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holmesglen</vt:lpwstr>
  </property>
  <property fmtid="{D5CDD505-2E9C-101B-9397-08002B2CF9AE}" pid="3" name="TemplafyTemplateId">
    <vt:lpwstr>637673505945172807</vt:lpwstr>
  </property>
  <property fmtid="{D5CDD505-2E9C-101B-9397-08002B2CF9AE}" pid="4" name="TemplafyUserProfileId">
    <vt:lpwstr>637623605789304049</vt:lpwstr>
  </property>
  <property fmtid="{D5CDD505-2E9C-101B-9397-08002B2CF9AE}" pid="5" name="TemplafyFromBlank">
    <vt:bool>true</vt:bool>
  </property>
  <property fmtid="{D5CDD505-2E9C-101B-9397-08002B2CF9AE}" pid="6" name="ClassificationContentMarkingFooterShapeIds">
    <vt:lpwstr>2e1fc2d8,18708073,462c273e</vt:lpwstr>
  </property>
  <property fmtid="{D5CDD505-2E9C-101B-9397-08002B2CF9AE}" pid="7" name="ClassificationContentMarkingFooterFontProps">
    <vt:lpwstr>#000000,11,Calibri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41a614bb-7b8e-4b4e-afa5-3fac8d0b6cac_Enabled">
    <vt:lpwstr>true</vt:lpwstr>
  </property>
  <property fmtid="{D5CDD505-2E9C-101B-9397-08002B2CF9AE}" pid="10" name="MSIP_Label_41a614bb-7b8e-4b4e-afa5-3fac8d0b6cac_SetDate">
    <vt:lpwstr>2024-05-08T03:00:15Z</vt:lpwstr>
  </property>
  <property fmtid="{D5CDD505-2E9C-101B-9397-08002B2CF9AE}" pid="11" name="MSIP_Label_41a614bb-7b8e-4b4e-afa5-3fac8d0b6cac_Method">
    <vt:lpwstr>Standard</vt:lpwstr>
  </property>
  <property fmtid="{D5CDD505-2E9C-101B-9397-08002B2CF9AE}" pid="12" name="MSIP_Label_41a614bb-7b8e-4b4e-afa5-3fac8d0b6cac_Name">
    <vt:lpwstr>OFFICIAL</vt:lpwstr>
  </property>
  <property fmtid="{D5CDD505-2E9C-101B-9397-08002B2CF9AE}" pid="13" name="MSIP_Label_41a614bb-7b8e-4b4e-afa5-3fac8d0b6cac_SiteId">
    <vt:lpwstr>435f6007-b395-4841-9bdb-dcba52302216</vt:lpwstr>
  </property>
  <property fmtid="{D5CDD505-2E9C-101B-9397-08002B2CF9AE}" pid="14" name="MSIP_Label_41a614bb-7b8e-4b4e-afa5-3fac8d0b6cac_ActionId">
    <vt:lpwstr>05e7758f-5882-434d-8f49-fd7cfd8d9dee</vt:lpwstr>
  </property>
  <property fmtid="{D5CDD505-2E9C-101B-9397-08002B2CF9AE}" pid="15" name="MSIP_Label_41a614bb-7b8e-4b4e-afa5-3fac8d0b6cac_ContentBits">
    <vt:lpwstr>2</vt:lpwstr>
  </property>
  <property fmtid="{D5CDD505-2E9C-101B-9397-08002B2CF9AE}" pid="16" name="ContentTypeId">
    <vt:lpwstr>0x01010093214BD418C1A84DA701E30ABCA956E8</vt:lpwstr>
  </property>
</Properties>
</file>